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7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92854">
              <w:rPr>
                <w:rFonts w:ascii="Times New Roman" w:hAnsi="Times New Roman"/>
                <w:sz w:val="18"/>
                <w:szCs w:val="18"/>
              </w:rPr>
              <w:t>8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928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BB2FB8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3952,0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</w:t>
            </w:r>
            <w:proofErr w:type="gram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BB2FB8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3952,0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0754A" w:rsidP="00BB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F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0754A" w:rsidP="00BB2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B2FB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BB2FB8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BB2FB8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 населенных пунктов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E8762B" w:rsidRDefault="00BB2FB8" w:rsidP="009F1330">
            <w:pPr>
              <w:rPr>
                <w:rFonts w:ascii="Times New Roman" w:hAnsi="Times New Roman"/>
                <w:b/>
              </w:rPr>
            </w:pPr>
            <w:r w:rsidRPr="00E8762B">
              <w:rPr>
                <w:rFonts w:ascii="Times New Roman" w:hAnsi="Times New Roman"/>
                <w:b/>
              </w:rPr>
              <w:t>11900,668</w:t>
            </w:r>
          </w:p>
        </w:tc>
      </w:tr>
      <w:tr w:rsidR="00BB2FB8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</w:t>
            </w:r>
            <w:r w:rsidRPr="00BB2FB8">
              <w:rPr>
                <w:rFonts w:ascii="Times New Roman" w:hAnsi="Times New Roman"/>
              </w:rPr>
              <w:t>(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 счет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188,0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00 72004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18</w:t>
            </w:r>
            <w:r w:rsidRPr="00BB2FB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на 2017-2019гг»</w:t>
            </w:r>
            <w:r w:rsidRPr="00BB2FB8">
              <w:rPr>
                <w:rFonts w:ascii="Times New Roman" w:hAnsi="Times New Roman"/>
              </w:rPr>
              <w:t xml:space="preserve"> </w:t>
            </w:r>
            <w:proofErr w:type="gramStart"/>
            <w:r w:rsidRPr="00BB2FB8">
              <w:rPr>
                <w:rFonts w:ascii="Times New Roman" w:hAnsi="Times New Roman"/>
              </w:rPr>
              <w:t>за</w:t>
            </w:r>
            <w:proofErr w:type="gramEnd"/>
            <w:r w:rsidRPr="00BB2FB8">
              <w:rPr>
                <w:rFonts w:ascii="Times New Roman" w:hAnsi="Times New Roman"/>
              </w:rPr>
              <w:t xml:space="preserve"> счет собственных </w:t>
            </w:r>
            <w:r w:rsidRPr="00BB2FB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AE7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10712,668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lastRenderedPageBreak/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5922,668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5922,668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E8762B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240</w:t>
            </w:r>
            <w:r w:rsidR="00E8762B">
              <w:rPr>
                <w:rFonts w:ascii="Times New Roman" w:hAnsi="Times New Roman"/>
              </w:rPr>
              <w:t>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E8762B">
            <w:pPr>
              <w:jc w:val="center"/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240</w:t>
            </w:r>
            <w:r w:rsidR="00E8762B">
              <w:rPr>
                <w:rFonts w:ascii="Times New Roman" w:hAnsi="Times New Roman"/>
              </w:rPr>
              <w:t>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E8762B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15852,668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829,6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829,6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637,2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E8762B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5835,0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5835,0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348BB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8762B">
              <w:rPr>
                <w:rFonts w:ascii="Times New Roman" w:hAnsi="Times New Roman"/>
                <w:color w:val="000000"/>
                <w:sz w:val="24"/>
                <w:szCs w:val="24"/>
              </w:rPr>
              <w:t>000,0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муниципальных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E8762B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62B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E8762B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360,0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E8762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76B94" w:rsidRPr="00D76B94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76B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76B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81281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4206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bookmarkStart w:id="1" w:name="_GoBack" w:colFirst="1" w:colLast="1"/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57FFA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20B4C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bookmarkEnd w:id="1"/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</w:t>
            </w:r>
            <w:proofErr w:type="gramStart"/>
            <w:r w:rsidRPr="00415F45">
              <w:rPr>
                <w:rFonts w:ascii="Times New Roman" w:hAnsi="Times New Roman"/>
              </w:rPr>
              <w:t>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41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57FF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 xml:space="preserve">ансовый  </w:t>
            </w:r>
            <w:r>
              <w:rPr>
                <w:rFonts w:ascii="Times New Roman" w:hAnsi="Times New Roman"/>
                <w:color w:val="000000"/>
              </w:rPr>
              <w:lastRenderedPageBreak/>
              <w:t>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20B4C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7997,4</w:t>
            </w:r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20B4C" w:rsidP="00130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23850,068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0603C3"/>
    <w:rsid w:val="0010754A"/>
    <w:rsid w:val="00130283"/>
    <w:rsid w:val="00141FE5"/>
    <w:rsid w:val="00142066"/>
    <w:rsid w:val="00161306"/>
    <w:rsid w:val="00163F9E"/>
    <w:rsid w:val="00190DBE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15F45"/>
    <w:rsid w:val="00420B4C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92854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2736-6764-44E1-9E6A-48A36B1B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60</cp:revision>
  <dcterms:created xsi:type="dcterms:W3CDTF">2014-10-28T05:38:00Z</dcterms:created>
  <dcterms:modified xsi:type="dcterms:W3CDTF">2017-11-16T09:37:00Z</dcterms:modified>
</cp:coreProperties>
</file>